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PINTA z rekordowymi wynikami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2022 roku rzemieślniczy Browar PINTA uwarzył 27 307 hektolitrów piwa, co oznacza najlepszy wynik w niemal 12-letnim dorobku pionierów piwnej rewolucji w Polsce.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porównaniu do 2021 roku produkcja browaru z Wieprza koło Żywca wzrosła o ponad 6%. Jeszcze większe wzrosty browar osiągnął pod względem liczby różnych, uwarzonych piw, których było 120. Aż 90 z nich to były piwa premierowe.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– Na kurczącym się rynku piwnym w Polsce piwa rzemieślnicze nadal mogą liczyć na swoich fanów, co pokazują nie tylko nasze dane produkcyjne –</w:t>
      </w:r>
      <w:r>
        <w:rPr>
          <w:rFonts w:ascii="calibri" w:hAnsi="calibri" w:eastAsia="calibri" w:cs="calibri"/>
          <w:sz w:val="24"/>
          <w:szCs w:val="24"/>
        </w:rPr>
        <w:t xml:space="preserve"> ocenia Ziemowit Fałat, współzałożyciel i współwłaściciel Browaru PINTA.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 względu na rodzaj fermentacji – zgodnie z rzemieślniczą tradycją – dominują piwa górnej fermentacji (ale). Ich udział maleje jednak na rzecz zyskujących coraz większą popularność piw kwaśnych. W 2022 roku w porównaniu z rokiem 2021 podwoiły one swoje udziały w ilości rozlewanego w PINCIE piwa, do ponad 13%. Na podobnym poziomie około 10% pozostały piwa dolnej fermentacji (lagery).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Największy wpływ na osiągnięty przez PINTĘ wzrost ilości uwarzonego piwa w 2022 roku miały lokale gastronomiczne, które wyraźnie ożywiły się po okresie zastoju wywołanego pandemią. W porównaniu z rokiem 2021 liczba beczek, do których trafiły piwa PINTY wzrosła o niemal 70%. Rekordy sprzedaży biły firmowe puby PINTY we Wrocławiu i w Warszawie. W każdym z nich sprzedaje się po 100-150 beczek piw PINTY miesięcznie.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Największym w historii zainteresowaniem cieszyła się też seria PINTA Miesiąca, w ramach której co miesiąc do wybranych pubów trafia inne piwo. Podczas tegorocznej 8 edycji serii puby zamówiły blisko 2,5 tys. beczek z tymi wyjątkowymi piwami. Znacząco wzrósł też eksport piwa w beczkach.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Całkowity eksport piw z Wieprza w beczkach, puszkach i butelkach wolumenowo wzrósł aż o 40%. Na pierwsze miejsce wśród odbiorców wskoczyła w tym roku Bułgaria, która uzyskała aż 17% udziału w eksporcie PINTY. Kolejne miejsca zajęły Francja, Litwa i Czechy. Łącznie piwa pionierów piwnej rewolucji w Polsce dotarły do 25 krajów. Najdalszym odbiorcą był Meksyk.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Browary PINTA i PINTA Barrel Brewing zdobyły w Konkursie Piw Rzemieślniczych – Kraft Roku 2022 kilkanaście medali, z czego 5 złotych, co jest najlepszym wynikiem w ich historii.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– W roku 2023 naszym celem na pewno nie będzie bicie kolejnych rekordów. Zamiast tego skupimy się na utrzymaniu jak najlepszej oferty, dostępnej dla każdego –</w:t>
      </w:r>
      <w:r>
        <w:rPr>
          <w:rFonts w:ascii="calibri" w:hAnsi="calibri" w:eastAsia="calibri" w:cs="calibri"/>
          <w:sz w:val="24"/>
          <w:szCs w:val="24"/>
        </w:rPr>
        <w:t xml:space="preserve"> mówi Ziemowit Fałat.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Kluczową rolę w dalszym rozwoju dostępności piw rzemieślniczych ma odegrać otwarte w tym roku przy obu browarach nowoczesne centrum dystrybucyjne OneMoreBeer. Jego plany zakładają, że w 2023 roku m.in. rozwinie się dystrybucja online przez portal onemorebeer.pl. Nowy rok ma też przynieść trzeci firmowy lokal PINTY, otwarty tym razem na północy Polski.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punktu widzenia fanów piw rzemieślniczych najważniejsze są zapowiedzi kolejnej edycji serii PINTA Miesiąca oraz kontynuacji popularnych serii piw Hazy Discovery i Collab PL. Na początku nowego roku do Polski dotrze Porter Bałtycki uwarzony przez PINTĘ we współpracy z browarem Dalons na wyspie Reunion. W 2023 roku pojawi się nowa seria piw jednochmielowych (single hop), warzonych z chmieli wybranych przez PINTĘ na plantacjach w Dolinie Yakima. Ponownie w sklepach Lidl będzie można znaleźć uwarzone w Wieprzu najlepsze piwa zainspirowane przez piwowarów domowych.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Poza tym Browar PINTA zapowiada na 2023 roku znowu dużo pijalnych nowości i rzemieślniczej klasyki. Z kolei specjalistyczny browar PINTA Barrel Brewing planuje wypuścić na rynek jeszcze więcej ekskluzywnych piw starzonych w drewnianych beczkach. W 2022 roku było ich 19.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2025-04-07T23:03:18+02:00</dcterms:created>
  <dcterms:modified xsi:type="dcterms:W3CDTF">2025-04-07T23:03:18+02:00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